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82e3c9746edc9cf893dadc13616f3dec9bb7"/>
    <w:p>
      <w:pPr>
        <w:pStyle w:val="Heading3"/>
      </w:pPr>
      <w:r>
        <w:t xml:space="preserve">Летняя образовательная программа «ПрофиЛаб»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Московский финансово-юридический университет МФЮА реализует все уровни образования: школа, колледж, бакалавриат, магистратура, аспирантура, а также курсы повышения квалификации и профессиональной переподготовки. В университете обучаются более 50 тысяч студентов.</w:t>
      </w:r>
    </w:p>
    <w:p>
      <w:pPr>
        <w:pStyle w:val="BodyText"/>
      </w:pPr>
      <w:r>
        <w:t xml:space="preserve">С 2020 года на базе МФЮА реализуются летние профориентационные образовательные программы для детей от 8 до 15 лет, где ежегодно более 1000 участников получают практические знания по востребованным специальностям, что способствует их подготовке к конкурсам профессионального мастерства и формированию осмысленной карьерной траектории.</w:t>
      </w:r>
    </w:p>
    <w:p>
      <w:pPr>
        <w:pStyle w:val="BodyText"/>
      </w:pPr>
      <w:r>
        <w:t xml:space="preserve">В 2025 году для московских школьников впервые откроются летние профориентационные образовательные программы «ПрофиЛаб» в учебно-лабораторных корпусах университета МФЮА по адресам: Варшавское шоссе, д.81, к.2 и Варшавское шоссе, д.38.</w:t>
      </w:r>
    </w:p>
    <w:p>
      <w:pPr>
        <w:pStyle w:val="BodyText"/>
      </w:pPr>
      <w:r>
        <w:t xml:space="preserve">В рамках проекта предусмотрено шесть смен, каждая из которых длится две недели (10 рабочих дней с 8:00 до 19:00) с организованным питанием и защищенной территорией. Программа предполагает профориентационные занятия по юриспруденции, предпринимательству и архитектуре.</w:t>
      </w:r>
    </w:p>
    <w:p>
      <w:pPr>
        <w:pStyle w:val="BodyText"/>
      </w:pPr>
      <w:r>
        <w:t xml:space="preserve">Московские школьники изучат основы правовых систем, разовьют навыки ведения бизнеса и проектирования зданий, а также познакомятся с принципами архитектурного дизайна. Каждый участник узнает тонкости анализа юридических документов, разработки бизнес-планов, создания архитектурных проектов, освоит навыки командной работы, критического и стратегического подхода в планировании и реализации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http://kommynarka.mos.ru/anonsy/detail/12867555.html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6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6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2025-03-31T19:40:47Z</dcterms:created>
  <dcterms:modified xsi:type="dcterms:W3CDTF">2025-03-31T19:40:47Z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