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5f158ae1082da996897c2b46b1330c6fedb1dc"/>
    <w:p>
      <w:pPr>
        <w:pStyle w:val="Heading3"/>
      </w:pPr>
      <w:r>
        <w:t xml:space="preserve">Москва занимает лидирующую позицию среди регионов по объему гарантийной поддержки МСП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t xml:space="preserve">Программу гарантийной поддержки реализует Московский гарантийный фонд подведомственный Департаменту предпринимательства и инновационного развития города Москвы. На Москву приходится 15% от всего портфеля гарантийной поддержки региональных гарантийных организаций страны (РГО).</w:t>
      </w:r>
    </w:p>
    <w:p>
      <w:pPr>
        <w:pStyle w:val="BodyText"/>
      </w:pPr>
      <w:r>
        <w:t xml:space="preserve">Московский гарантийный фонд обеспечивает доступность финансирования для малого и среднего бизнеса в Москве, выступая поручителем, помогает предпринимателям решить проблему нехватки собственного залога для получения кредита. Если у предпринимателя не хватает залога при обращении за кредитом, то Фонд может выступить поручителем, закрыв основные риски перед банком. Поручительства Московского фонда содействия кредитованию покрывают до 70% от суммы кредита, в общем объеме до 100 млн рублей.</w:t>
      </w:r>
    </w:p>
    <w:p>
      <w:pPr>
        <w:pStyle w:val="BodyText"/>
      </w:pPr>
      <w:r>
        <w:t xml:space="preserve">За все время работы Фонда предоставлено более 20 тысяч поручительств на сумму 185 млрд рублей, что помогло привлечь малому и среднему бизнесу финансирование в размере более 381 млрд рублей. Из них в 2024 году заключено 1939 договоров на 20 млрд рублей, объем привлеченного субъектами МСП финансирования составил 45,9 млрд рублей.</w:t>
      </w:r>
    </w:p>
    <w:p>
      <w:pPr>
        <w:pStyle w:val="BodyText"/>
      </w:pPr>
      <w:r>
        <w:t xml:space="preserve">Гарантийный механизм позволяет использовать бюджетные средства как эффективный рычаг для привлечения финансирования в бизнес. Сегодня портфель поручительств в 3,9 раз превышает гарантийный капитал Фонда, обеспечивая мультипликативный эффект.</w:t>
      </w:r>
    </w:p>
    <w:p>
      <w:pPr>
        <w:pStyle w:val="BodyText"/>
      </w:pPr>
      <w:r>
        <w:t xml:space="preserve">Особое внимание уделяется поддержке приоритетным отраслям – для них действуют льготные условия предоставления поручительств. Ставка вознаграждения за предоставление поручительства для приоритетных отраслей составляет 0,75% годовых от суммы поручительства, для иных отраслей – 1% годовых.</w:t>
      </w:r>
    </w:p>
    <w:p>
      <w:pPr>
        <w:pStyle w:val="BodyText"/>
      </w:pPr>
      <w:r>
        <w:t xml:space="preserve">За все время работы Фонда такие компании привлекли более 99 млрд рублей. Доля финансирования высокотехнологичных предприятий в портфеле фонда составляет 28%.</w:t>
      </w:r>
    </w:p>
    <w:p>
      <w:pPr>
        <w:pStyle w:val="BodyText"/>
      </w:pPr>
      <w:r>
        <w:t xml:space="preserve">Фонд работает в партнерстве с</w:t>
      </w:r>
      <w:r>
        <w:t xml:space="preserve"> </w:t>
      </w:r>
      <w:hyperlink r:id="rId20">
        <w:r>
          <w:rPr>
            <w:rStyle w:val="Hyperlink"/>
          </w:rPr>
          <w:t xml:space="preserve">70-ю финансовыми</w:t>
        </w:r>
      </w:hyperlink>
      <w:r>
        <w:t xml:space="preserve"> </w:t>
      </w:r>
      <w:r>
        <w:t xml:space="preserve">институтами, среди них государственные и коммерческие банки, финансовые структуры. За время работы с поддержкой Фонда столичные предприниматели привлекли свыше 383 миллиардов рублей заемного финансирования.</w:t>
      </w:r>
    </w:p>
    <w:p>
      <w:pPr>
        <w:pStyle w:val="BodyText"/>
      </w:pPr>
      <w:r>
        <w:t xml:space="preserve">Информацию о действующих программах льготного финансирования, лимитах этих программ в банках и продуктах фонда можно получить у специалистов</w:t>
      </w:r>
      <w:r>
        <w:t xml:space="preserve"> </w:t>
      </w:r>
      <w:hyperlink r:id="rId21">
        <w:r>
          <w:rPr>
            <w:rStyle w:val="Hyperlink"/>
          </w:rPr>
          <w:t xml:space="preserve">Центра содействия финансированию</w:t>
        </w:r>
      </w:hyperlink>
      <w:r>
        <w:t xml:space="preserve">. Предпринимателям расскажут об условиях и особенностях программ, порекомендуют банки с учетом специфики проектов. Консультации проводят в будние дни с 09:00 до 18:00 по телефону: +7 495 926-26-95, электронной почте</w:t>
      </w:r>
      <w:r>
        <w:t xml:space="preserve"> </w:t>
      </w:r>
      <w:hyperlink r:id="rId22">
        <w:r>
          <w:rPr>
            <w:rStyle w:val="Hyperlink"/>
          </w:rPr>
          <w:t xml:space="preserve">info@fskmb.ru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фонда.</w:t>
      </w:r>
    </w:p>
    <w:p>
      <w:pPr>
        <w:pStyle w:val="BodyText"/>
      </w:pPr>
      <w:r>
        <w:t xml:space="preserve">Гарантийная 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http://kommynarka.mos.ru/anonsy/detail/12869781.html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anonsy/detail/12869781.html" TargetMode="External" /><Relationship Type="http://schemas.openxmlformats.org/officeDocument/2006/relationships/hyperlink" Id="rId23" Target="https://www.fskmb.ru/" TargetMode="External" /><Relationship Type="http://schemas.openxmlformats.org/officeDocument/2006/relationships/hyperlink" Id="rId20" Target="https://www.fskmb.ru/about/#partners" TargetMode="External" /><Relationship Type="http://schemas.openxmlformats.org/officeDocument/2006/relationships/hyperlink" Id="rId21" Target="https://www.fskmb.ru/funding/promotion_center/" TargetMode="External" /><Relationship Type="http://schemas.openxmlformats.org/officeDocument/2006/relationships/hyperlink" Id="rId24" Target="https://&#1085;&#1072;&#1094;&#1080;&#1086;&#1085;&#1072;&#1083;&#1100;&#1085;&#1099;&#1077;&#1087;&#1088;&#1086;&#1077;&#1082;&#1090;&#1099;.&#1088;&#1092;/new-projects/effektivnaya-i-konkurentnaya-ekonomika/" TargetMode="External" /><Relationship Type="http://schemas.openxmlformats.org/officeDocument/2006/relationships/hyperlink" Id="rId22" Target="mailto:info@fskmb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anonsy/detail/12869781.html" TargetMode="External" /><Relationship Type="http://schemas.openxmlformats.org/officeDocument/2006/relationships/hyperlink" Id="rId23" Target="https://www.fskmb.ru/" TargetMode="External" /><Relationship Type="http://schemas.openxmlformats.org/officeDocument/2006/relationships/hyperlink" Id="rId20" Target="https://www.fskmb.ru/about/#partners" TargetMode="External" /><Relationship Type="http://schemas.openxmlformats.org/officeDocument/2006/relationships/hyperlink" Id="rId21" Target="https://www.fskmb.ru/funding/promotion_center/" TargetMode="External" /><Relationship Type="http://schemas.openxmlformats.org/officeDocument/2006/relationships/hyperlink" Id="rId24" Target="https://&#1085;&#1072;&#1094;&#1080;&#1086;&#1085;&#1072;&#1083;&#1100;&#1085;&#1099;&#1077;&#1087;&#1088;&#1086;&#1077;&#1082;&#1090;&#1099;.&#1088;&#1092;/new-projects/effektivnaya-i-konkurentnaya-ekonomika/" TargetMode="External" /><Relationship Type="http://schemas.openxmlformats.org/officeDocument/2006/relationships/hyperlink" Id="rId22" Target="mailto:info@fskmb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2025-05-07T23:40:07Z</dcterms:created>
  <dcterms:modified xsi:type="dcterms:W3CDTF">2025-05-07T23:40:07Z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