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c4cc3cfd5252bfc8dc2f31492563677c648b7"/>
    <w:p>
      <w:pPr>
        <w:pStyle w:val="Heading3"/>
      </w:pPr>
      <w:r>
        <w:t xml:space="preserve">Уголовная и административная ответственность за незаконную рубку, повреждение зеленых (лесных) насаждений или их самовольное выкапывание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hyperlink r:id="rId20">
        <w:r>
          <w:rPr>
            <w:rStyle w:val="Hyperlink"/>
          </w:rPr>
          <w:t xml:space="preserve">Уголовная и административная ответственность за незаконную рубку, повреждение зеленых (лесных) насаждений или их самовольное выкапывание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http://kommynarka.mos.ru/bezopasnost-dorozhnogo-dvizheniya/pamyatki-i-videoroliki/detail/13038411.html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56;&#1052;%2032025.pdf" TargetMode="Externa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bezopasnost-dorozhnogo-dvizheniya/pamyatki-i-videoroliki/detail/13038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56;&#1052;%2032025.pdf" TargetMode="Externa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bezopasnost-dorozhnogo-dvizheniya/pamyatki-i-videoroliki/detail/13038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2025-06-17T16:49:55Z</dcterms:created>
  <dcterms:modified xsi:type="dcterms:W3CDTF">2025-06-17T16:49:55Z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