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11999df309a76736ddee85a9973f329bb4f137"/>
    <w:p>
      <w:pPr>
        <w:pStyle w:val="Heading3"/>
      </w:pPr>
      <w:r>
        <w:t xml:space="preserve">Памятка по эксплуатации аттракционов в городе Москве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9d/0knzhns6iuhuhv2tvow8yhg9mw7kfuj9/Prezentatsiya_po_Attraktsionam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Лето, жара, каникулы! Сейчас в Москве много мест для отдыха и развлечений, где можно отлично провести время и взрослым, и детям.</w:t>
      </w:r>
    </w:p>
    <w:p>
      <w:pPr>
        <w:pStyle w:val="BodyText"/>
      </w:pPr>
      <w:r>
        <w:t xml:space="preserve">В последние годы в Москве происходит устойчивый рост количества развлекательных объектов, включая стационарные и передвижные аттракционы, что связано как с развитием городской инфраструктуры, так и с повышением спроса на досуг у жителей города.</w:t>
      </w:r>
    </w:p>
    <w:p>
      <w:pPr>
        <w:pStyle w:val="BodyText"/>
      </w:pPr>
      <w:r>
        <w:t xml:space="preserve">Для предпринимателей, решивших заняться бизнесом в сфере досуга и развлечений, а также ведущих эту деятельность, Штабом, совместно с Гостехнадзором города Москвы разработана «Памятка по эксплуатации аттракционов в городе Москве» - актуальный материал об основных аспектах правового регулирования в этой сфере:</w:t>
      </w:r>
    </w:p>
    <w:p>
      <w:pPr>
        <w:pStyle w:val="BodyText"/>
      </w:pPr>
      <w:r>
        <w:t xml:space="preserve">· видах и типах аттракционов;</w:t>
      </w:r>
    </w:p>
    <w:p>
      <w:pPr>
        <w:pStyle w:val="BodyText"/>
      </w:pPr>
      <w:r>
        <w:t xml:space="preserve">· порядке размещения;</w:t>
      </w:r>
    </w:p>
    <w:p>
      <w:pPr>
        <w:pStyle w:val="BodyText"/>
      </w:pPr>
      <w:r>
        <w:t xml:space="preserve">· государственной регистрации;</w:t>
      </w:r>
    </w:p>
    <w:p>
      <w:pPr>
        <w:pStyle w:val="BodyText"/>
      </w:pPr>
      <w:r>
        <w:t xml:space="preserve">· и государственном надзоре за ними в городе Москве.</w:t>
      </w:r>
    </w:p>
    <w:p>
      <w:pPr>
        <w:pStyle w:val="BodyText"/>
      </w:pPr>
      <w:r>
        <w:t xml:space="preserve">А для опытных бизнесменов эта памятка способна стать неким чек-листом, с помощью которого, они смогут еще раз убедиться, что их деятельность соответствует всем актуальным нормативным требованиям.</w:t>
      </w:r>
    </w:p>
    <w:p>
      <w:pPr>
        <w:pStyle w:val="BodyText"/>
      </w:pPr>
      <w:r>
        <w:t xml:space="preserve">Скачать Памятку </w:t>
      </w:r>
      <w:hyperlink r:id="rId23">
        <w:r>
          <w:rPr>
            <w:rStyle w:val="Hyperlink"/>
          </w:rPr>
          <w:t xml:space="preserve">можно здесь</w:t>
        </w:r>
      </w:hyperlink>
      <w:r>
        <w:t xml:space="preserve">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http://kommynarka.mos.ru/bezopasnost-dorozhnogo-dvizheniya/pamyatki-i-videoroliki/detail/13114402.html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bezopasnost-dorozhnogo-dvizheniya/pamyatki-i-videoroliki/detail/13114402.html" TargetMode="External" /><Relationship Type="http://schemas.openxmlformats.org/officeDocument/2006/relationships/hyperlink" Id="rId23" Target="https://dp.mbm.ru/upload/iblock/747/wvfiqldlxsdxqzzpawmq9ye2d5lus73w/%D0%9F%D1%80%D0%B5%D0%B7%D0%B5%D0%BD%D1%82%D0%B0%D1%86%D0%B8%D1%8F_%D0%BF%D0%BE_%D0%90%D1%82%D1%82%D1%80%D0%B0%D0%BA%D1%86%D0%B8%D0%BE%D0%BD%D0%B0%D0%BC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bezopasnost-dorozhnogo-dvizheniya/pamyatki-i-videoroliki/detail/13114402.html" TargetMode="External" /><Relationship Type="http://schemas.openxmlformats.org/officeDocument/2006/relationships/hyperlink" Id="rId23" Target="https://dp.mbm.ru/upload/iblock/747/wvfiqldlxsdxqzzpawmq9ye2d5lus73w/%D0%9F%D1%80%D0%B5%D0%B7%D0%B5%D0%BD%D1%82%D0%B0%D1%86%D0%B8%D1%8F_%D0%BF%D0%BE_%D0%90%D1%82%D1%82%D1%80%D0%B0%D0%BA%D1%86%D0%B8%D0%BE%D0%BD%D0%B0%D0%BC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2025-07-21T10:04:19Z</dcterms:created>
  <dcterms:modified xsi:type="dcterms:W3CDTF">2025-07-21T10:04:19Z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