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fdc0c37663d5dc316fdd336b21d4469c97c1b6"/>
    <w:p>
      <w:pPr>
        <w:pStyle w:val="Heading3"/>
      </w:pPr>
      <w:r>
        <w:t xml:space="preserve">В музее-панораме «Бородинская битва» открывается выставка, посвященная строевым музыкантам начала XIX века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t xml:space="preserve">В экспозиции представят музыкальные инструменты, мундиры музыкантов русской, французской, прусской и английской армий начала XIX века, а также живописные работы и эстампы.</w:t>
      </w:r>
      <w:r>
        <w:br/>
      </w:r>
      <w:r>
        <w:br/>
      </w:r>
      <w:r>
        <w:t xml:space="preserve">19 февраля в музее-панораме «Бородинская битва» откроется выставка «И трубы их медные славу поют», посвященная военной музыке и строевым музыкантам первой половины XIX столетия.</w:t>
      </w:r>
      <w:r>
        <w:br/>
      </w:r>
      <w:r>
        <w:t xml:space="preserve">Основу экспозиции составят разнообразные инструменты начала XIX века. Cигнальные и наградные трубы, барабан французской пехоты и литавра русского гвардейского кирасирского полка, флейты и валторны 200 лет назад звучали в походах и на полях сражений, на них исполнялись звонкие и узнаваемые мелодии команд «Тревога», «Под знамена», «На штыки» и других.</w:t>
      </w:r>
      <w:r>
        <w:br/>
      </w:r>
      <w:r>
        <w:t xml:space="preserve">В 1812 году в состав каждого полка или артиллерийской части входили строевые музыканты. Барабанщики, валторнисты, флейтисты и трубачи подавали войскам сигналы, что было главным способом передачи приказов в боевой обстановке и на учениях. Кроме того, в большинстве воинских частей существовал хор военной музыки, или, по современной терминологии, военный оркестр, исполнявший музыку во время парадов и церемоний.</w:t>
      </w:r>
      <w:r>
        <w:br/>
      </w:r>
      <w:r>
        <w:t xml:space="preserve">На выставке также представят мундиры музыкантов русской, французской, прусской и английской армий начала XIX века. Обмундирование, часто яркое, с декоративными галунами, позволяло командирам легко отличать музыкантов, чтобы передавать через них приказы войскам.</w:t>
      </w:r>
      <w:r>
        <w:br/>
      </w:r>
      <w:r>
        <w:t xml:space="preserve">Кроме того, посетители смогут увидеть живописные работы и эстампы, на которых запечатлен внешний облик военных музыкантов наполеоновской эпохи. Одними из достоверных источников сведений о военном костюме русской армии начала XIX столетия считаются серия гравюр военного художника Льва Киля, выполненная в 1815–1819 годах, и литографии, изготовленные в 1851 году для многотомного труда «Историческое описание одежды и вооружения российских войск» под редакцией А.В. Висковатова.</w:t>
      </w:r>
    </w:p>
    <w:p>
      <w:pPr>
        <w:pStyle w:val="BodyText"/>
      </w:pPr>
      <w:r>
        <w:t xml:space="preserve">Выставка организована при участии Военно-исторического музея артиллерии, инженерных войск и войск связи, Музея В.А. Тропинина и московских художников его времени, Российского национального музея музыки, Российской государственной библиотеки, Московской государственной консерватории имени П.И. Чайковского, Российского института истории искусств, частных коллекционеров Татьяны и Сергея Подстаницких, Александра Вихрова, Поля Климова.</w:t>
      </w:r>
      <w:r>
        <w:br/>
      </w:r>
      <w:r>
        <w:t xml:space="preserve">Выставка способствует достижению целей нацпроекта «Культура» в городе Москве. Подробнее об этом и других национальных проектах, реализуемых в Москве, можно узнать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на этой странице</w:t>
        </w:r>
      </w:hyperlink>
      <w:r>
        <w:t xml:space="preserve">.</w:t>
      </w:r>
      <w:r>
        <w:br/>
      </w:r>
      <w:r>
        <w:t xml:space="preserve">Экспозиция продлится до 30 мая. Вход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по билету в музей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http://kommynarka.mos.ru/obshchaya/detail/12337058.html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ommynarka.mos.ru" TargetMode="External" /><Relationship Type="http://schemas.openxmlformats.org/officeDocument/2006/relationships/hyperlink" Id="rId22" Target="http://kommynarka.mos.ru/obshchaya/detail/12337058.html" TargetMode="External" /><Relationship Type="http://schemas.openxmlformats.org/officeDocument/2006/relationships/hyperlink" Id="rId21" Target="https://www.1812panorama.ru/" TargetMode="External" /><Relationship Type="http://schemas.openxmlformats.org/officeDocument/2006/relationships/hyperlink" Id="rId20" Target="https://www.mos.ru/city/projects/national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ommynarka.mos.ru" TargetMode="External" /><Relationship Type="http://schemas.openxmlformats.org/officeDocument/2006/relationships/hyperlink" Id="rId22" Target="http://kommynarka.mos.ru/obshchaya/detail/12337058.html" TargetMode="External" /><Relationship Type="http://schemas.openxmlformats.org/officeDocument/2006/relationships/hyperlink" Id="rId21" Target="https://www.1812panorama.ru/" TargetMode="External" /><Relationship Type="http://schemas.openxmlformats.org/officeDocument/2006/relationships/hyperlink" Id="rId20" Target="https://www.mos.ru/city/projects/national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2025-05-31T01:03:23Z</dcterms:created>
  <dcterms:modified xsi:type="dcterms:W3CDTF">2025-05-31T01:03:23Z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